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25D60A3C" w:rsidR="00E90E49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6E6F50">
        <w:t>90</w:t>
      </w:r>
      <w:r w:rsidRPr="00327997">
        <w:tab/>
      </w:r>
      <w:r w:rsidR="00790B99" w:rsidRPr="00327997">
        <w:t>R1</w:t>
      </w:r>
      <w:r w:rsidR="00091557" w:rsidRPr="00327997">
        <w:t>-</w:t>
      </w:r>
      <w:r w:rsidR="00F62E92">
        <w:t>1715148</w:t>
      </w:r>
      <w:bookmarkStart w:id="0" w:name="_GoBack"/>
      <w:bookmarkEnd w:id="0"/>
    </w:p>
    <w:p w14:paraId="4EA1C6FC" w14:textId="71C8C525" w:rsidR="006E6F50" w:rsidRPr="006E6F50" w:rsidRDefault="006E6F50" w:rsidP="00327997">
      <w:pPr>
        <w:pStyle w:val="3GPPHeader"/>
      </w:pPr>
      <w:r w:rsidRPr="006E6F50">
        <w:t>Prag</w:t>
      </w:r>
      <w:r>
        <w:t>ue, Czech Republic, 21</w:t>
      </w:r>
      <w:r w:rsidRPr="006E6F50">
        <w:rPr>
          <w:vertAlign w:val="superscript"/>
        </w:rPr>
        <w:t>st</w:t>
      </w:r>
      <w:r>
        <w:t xml:space="preserve"> – 25</w:t>
      </w:r>
      <w:r w:rsidRPr="006E6F50">
        <w:rPr>
          <w:vertAlign w:val="superscript"/>
        </w:rPr>
        <w:t>th</w:t>
      </w:r>
      <w:r>
        <w:t xml:space="preserve"> August,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49915C10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C6393A" w:rsidRPr="00C6393A">
        <w:t>Simulation assumptions for advanced CSI and hybrid CSI CBSR</w:t>
      </w:r>
    </w:p>
    <w:p w14:paraId="2D554DE3" w14:textId="3E85333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6393A">
        <w:t>5.1.4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3CB8F8BC" w14:textId="68E8EB85" w:rsidR="004000E8" w:rsidRDefault="00C6393A" w:rsidP="00CE0424">
      <w:pPr>
        <w:pStyle w:val="Heading1"/>
      </w:pPr>
      <w:r>
        <w:t xml:space="preserve">Introduction </w:t>
      </w:r>
    </w:p>
    <w:p w14:paraId="108E4522" w14:textId="77777777" w:rsidR="00C6393A" w:rsidRDefault="00C6393A" w:rsidP="00C6393A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Conclusion</w:t>
      </w:r>
    </w:p>
    <w:p w14:paraId="3CFEF1BC" w14:textId="77777777" w:rsidR="00C6393A" w:rsidRDefault="00C6393A" w:rsidP="00C6393A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highlight w:val="yellow"/>
          <w:lang w:eastAsia="ja-JP"/>
        </w:rPr>
        <w:t xml:space="preserve">Discuss offline and agree by Thur </w:t>
      </w:r>
      <w:r>
        <w:rPr>
          <w:rFonts w:eastAsia="MS Mincho"/>
          <w:lang w:eastAsia="ja-JP"/>
        </w:rPr>
        <w:t>what additional evaluations, and under what assumptions/scenarios, are needed in order to understand the gains of codebook subset restriction for Advanced CSI and Hybrid CSI sufficiently to take a decision at RAN1#90bis.</w:t>
      </w:r>
    </w:p>
    <w:p w14:paraId="1B8C7E9C" w14:textId="77777777" w:rsidR="00C6393A" w:rsidRDefault="006603AE" w:rsidP="00C6393A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hyperlink r:id="rId13" w:history="1">
        <w:r w:rsidR="00C6393A">
          <w:rPr>
            <w:rStyle w:val="Hyperlink"/>
            <w:rFonts w:eastAsia="MS Mincho"/>
            <w:highlight w:val="yellow"/>
            <w:lang w:eastAsia="ja-JP"/>
          </w:rPr>
          <w:t>R1-1714649</w:t>
        </w:r>
      </w:hyperlink>
      <w:r w:rsidR="00C6393A">
        <w:rPr>
          <w:rFonts w:eastAsia="MS Mincho"/>
          <w:lang w:eastAsia="ja-JP"/>
        </w:rPr>
        <w:t xml:space="preserve"> – Sebastian (Ericsson)</w:t>
      </w:r>
    </w:p>
    <w:p w14:paraId="77E1DAD2" w14:textId="77777777" w:rsidR="00C6393A" w:rsidRDefault="00C6393A" w:rsidP="00C6393A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Agree at RAN1#90bis whether or not to accept codebook subset restriction for Advanced CSI and Hybrid CSI under TEI-15. </w:t>
      </w:r>
    </w:p>
    <w:p w14:paraId="14C2F453" w14:textId="675A089F" w:rsidR="00C6393A" w:rsidRDefault="00C6393A" w:rsidP="006E09BB">
      <w:pPr>
        <w:pStyle w:val="Heading1"/>
      </w:pPr>
      <w:r>
        <w:t>Simulation assumption</w:t>
      </w:r>
      <w:r w:rsidR="005E2DBD">
        <w:t>s</w:t>
      </w:r>
    </w:p>
    <w:p w14:paraId="4D52DDFF" w14:textId="48D6AFDC" w:rsidR="00C6393A" w:rsidRDefault="005E2DBD" w:rsidP="00C6393A">
      <w:r>
        <w:t>Based on offline discussion, the following assumptions may be used when evaluating benefit of CBSR:</w:t>
      </w:r>
    </w:p>
    <w:tbl>
      <w:tblPr>
        <w:tblStyle w:val="TableGridLight"/>
        <w:tblW w:w="0" w:type="auto"/>
        <w:tblLook w:val="06A0" w:firstRow="1" w:lastRow="0" w:firstColumn="1" w:lastColumn="0" w:noHBand="1" w:noVBand="1"/>
      </w:tblPr>
      <w:tblGrid>
        <w:gridCol w:w="1668"/>
        <w:gridCol w:w="7908"/>
      </w:tblGrid>
      <w:tr w:rsidR="00C6393A" w14:paraId="29602AEE" w14:textId="77777777" w:rsidTr="005E2DBD">
        <w:tc>
          <w:tcPr>
            <w:tcW w:w="1668" w:type="dxa"/>
          </w:tcPr>
          <w:p w14:paraId="0E9F10F4" w14:textId="2D9E1B43" w:rsidR="00C6393A" w:rsidRDefault="00C6393A" w:rsidP="00C6393A">
            <w:r>
              <w:t>Parameter</w:t>
            </w:r>
          </w:p>
        </w:tc>
        <w:tc>
          <w:tcPr>
            <w:tcW w:w="7908" w:type="dxa"/>
          </w:tcPr>
          <w:p w14:paraId="075A2C3F" w14:textId="1FCE694B" w:rsidR="00C6393A" w:rsidRDefault="00C6393A" w:rsidP="00C6393A">
            <w:r>
              <w:t>Value</w:t>
            </w:r>
          </w:p>
        </w:tc>
      </w:tr>
      <w:tr w:rsidR="00C6393A" w14:paraId="1805B202" w14:textId="77777777" w:rsidTr="005E2DBD">
        <w:tc>
          <w:tcPr>
            <w:tcW w:w="1668" w:type="dxa"/>
          </w:tcPr>
          <w:p w14:paraId="695BAF38" w14:textId="3F60BA2C" w:rsidR="00C6393A" w:rsidRDefault="00C6393A" w:rsidP="00C6393A">
            <w:r>
              <w:t>Scenario</w:t>
            </w:r>
          </w:p>
        </w:tc>
        <w:tc>
          <w:tcPr>
            <w:tcW w:w="7908" w:type="dxa"/>
          </w:tcPr>
          <w:p w14:paraId="7D5DF179" w14:textId="05A4F9C1" w:rsidR="00C6393A" w:rsidRDefault="00C6393A" w:rsidP="00C6393A">
            <w:r>
              <w:t>UMi and UMa (200m ISD</w:t>
            </w:r>
            <w:r w:rsidR="005E2DBD">
              <w:t>)</w:t>
            </w:r>
          </w:p>
        </w:tc>
      </w:tr>
      <w:tr w:rsidR="00C6393A" w14:paraId="758700FE" w14:textId="77777777" w:rsidTr="005E2DBD">
        <w:tc>
          <w:tcPr>
            <w:tcW w:w="1668" w:type="dxa"/>
          </w:tcPr>
          <w:p w14:paraId="2D8AC4BA" w14:textId="003E4018" w:rsidR="00C6393A" w:rsidRDefault="00C6393A" w:rsidP="00C6393A">
            <w:r>
              <w:t>Antenna setup and port layouts</w:t>
            </w:r>
          </w:p>
        </w:tc>
        <w:tc>
          <w:tcPr>
            <w:tcW w:w="7908" w:type="dxa"/>
          </w:tcPr>
          <w:p w14:paraId="76FF41D3" w14:textId="77777777" w:rsidR="00C6393A" w:rsidRPr="00C6393A" w:rsidRDefault="00C6393A" w:rsidP="00C6393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C6393A">
              <w:t>(M,N,P)=(8,1,2) antenna elements: (N1,N2) = (2,1), (4,1), (8,1), with 4x1, 2x1 and 1x1 virtualization respectively</w:t>
            </w:r>
          </w:p>
          <w:p w14:paraId="398D460C" w14:textId="77777777" w:rsidR="00C6393A" w:rsidRPr="00C6393A" w:rsidRDefault="00C6393A" w:rsidP="00C6393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C6393A">
              <w:t xml:space="preserve">(M,N,P)=(8,2,2) antenna elements: (N1,N2) = (4,2), (8,2) with 2x1 and 1x1 virtualization respectively </w:t>
            </w:r>
          </w:p>
          <w:p w14:paraId="7BC500B7" w14:textId="77777777" w:rsidR="00C6393A" w:rsidRPr="00C6393A" w:rsidRDefault="00C6393A" w:rsidP="00C6393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C6393A">
              <w:t>(M,N,P)=(8,4,2) antenna elements: (N1,N2) = (2,4), (4,4) with 4x1 and 2x1 virtualization respectively</w:t>
            </w:r>
          </w:p>
          <w:p w14:paraId="38949D34" w14:textId="77777777" w:rsidR="00C6393A" w:rsidRDefault="00C6393A" w:rsidP="00C6393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C6393A">
              <w:t>(M,N,P)=(16,1,2) antenna elements: (N1,N2) = (8,1), (16,1) with 2x1 and 1x1 virtualization respectively</w:t>
            </w:r>
          </w:p>
          <w:p w14:paraId="3FA9F0C8" w14:textId="5244AAD9" w:rsidR="00C6393A" w:rsidRDefault="00C6393A" w:rsidP="00C639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>
              <w:t>1</w:t>
            </w:r>
            <w:r w:rsidRPr="00C6393A">
              <w:rPr>
                <w:vertAlign w:val="superscript"/>
              </w:rPr>
              <w:t>st</w:t>
            </w:r>
            <w:r>
              <w:t xml:space="preserve"> dimension corresponds to vertical dimension</w:t>
            </w:r>
          </w:p>
        </w:tc>
      </w:tr>
      <w:tr w:rsidR="00C6393A" w14:paraId="5C7FFBC4" w14:textId="77777777" w:rsidTr="005E2DBD">
        <w:tc>
          <w:tcPr>
            <w:tcW w:w="1668" w:type="dxa"/>
          </w:tcPr>
          <w:p w14:paraId="573E1665" w14:textId="349692B9" w:rsidR="00C6393A" w:rsidRDefault="00C6393A" w:rsidP="00C6393A">
            <w:r>
              <w:t>Schemes</w:t>
            </w:r>
          </w:p>
        </w:tc>
        <w:tc>
          <w:tcPr>
            <w:tcW w:w="7908" w:type="dxa"/>
          </w:tcPr>
          <w:p w14:paraId="161774F6" w14:textId="21B487DA" w:rsidR="00C6393A" w:rsidRPr="00C6393A" w:rsidRDefault="00C6393A" w:rsidP="00C6393A">
            <w:r w:rsidRPr="00C6393A">
              <w:t>Baseline: No CBSR</w:t>
            </w:r>
          </w:p>
          <w:p w14:paraId="4F02C5E3" w14:textId="056F1E7F" w:rsidR="00C6393A" w:rsidRDefault="00C6393A" w:rsidP="00C6393A">
            <w:pPr>
              <w:pStyle w:val="ListParagraph"/>
              <w:ind w:left="0"/>
              <w:rPr>
                <w:szCs w:val="20"/>
              </w:rPr>
            </w:pPr>
            <w:r w:rsidRPr="00C6393A">
              <w:rPr>
                <w:szCs w:val="20"/>
              </w:rPr>
              <w:t xml:space="preserve">Scheme 1: Beam-based CBSR </w:t>
            </w:r>
            <w:r w:rsidR="005E2DBD">
              <w:rPr>
                <w:szCs w:val="20"/>
              </w:rPr>
              <w:t>where</w:t>
            </w:r>
            <w:r w:rsidRPr="00C6393A">
              <w:rPr>
                <w:szCs w:val="20"/>
              </w:rPr>
              <w:t xml:space="preserve"> </w:t>
            </w:r>
            <w:r w:rsidR="005E2DBD">
              <w:rPr>
                <w:szCs w:val="20"/>
              </w:rPr>
              <w:t>b</w:t>
            </w:r>
            <w:r w:rsidRPr="00C6393A">
              <w:rPr>
                <w:szCs w:val="20"/>
              </w:rPr>
              <w:t>eams around</w:t>
            </w:r>
            <m:oMath>
              <m:sSup>
                <m:sSup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Cs w:val="20"/>
                    </w:rPr>
                    <m:t>∘</m:t>
                  </m:r>
                </m:sup>
              </m:sSup>
            </m:oMath>
            <w:r w:rsidRPr="00C6393A">
              <w:rPr>
                <w:szCs w:val="20"/>
              </w:rPr>
              <w:t xml:space="preserve"> are removed. For instance </w:t>
            </w:r>
            <m:oMath>
              <m:r>
                <w:rPr>
                  <w:rFonts w:ascii="Cambria Math" w:hAnsi="Cambria Math"/>
                  <w:szCs w:val="20"/>
                </w:rPr>
                <m:t>{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l,m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 :l=0,1,…,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-1</m:t>
              </m:r>
            </m:oMath>
            <w:r w:rsidRPr="00C6393A">
              <w:rPr>
                <w:szCs w:val="20"/>
              </w:rPr>
              <w:t xml:space="preserve"> and</w:t>
            </w:r>
            <m:oMath>
              <m:r>
                <w:rPr>
                  <w:rFonts w:ascii="Cambria Math" w:hAnsi="Cambria Math"/>
                  <w:szCs w:val="20"/>
                </w:rPr>
                <m:t xml:space="preserve"> l= 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+1</m:t>
              </m:r>
            </m:oMath>
            <w:r w:rsidRPr="00C6393A">
              <w:rPr>
                <w:szCs w:val="20"/>
              </w:rPr>
              <w:t>,…,</w:t>
            </w:r>
            <m:oMath>
              <m:r>
                <w:rPr>
                  <w:rFonts w:ascii="Cambria Math" w:hAnsi="Cambria Math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-1</m:t>
              </m:r>
            </m:oMath>
            <w:r w:rsidRPr="00C6393A">
              <w:rPr>
                <w:szCs w:val="20"/>
              </w:rPr>
              <w:t>} are removed, i.e.</w:t>
            </w:r>
            <m:oMath>
              <m:r>
                <w:rPr>
                  <w:rFonts w:ascii="Cambria Math" w:hAnsi="Cambria Math"/>
                  <w:szCs w:val="20"/>
                </w:rPr>
                <m:t>2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-1</m:t>
              </m:r>
            </m:oMath>
            <w:r w:rsidRPr="00C6393A">
              <w:rPr>
                <w:szCs w:val="20"/>
              </w:rPr>
              <w:t xml:space="preserve"> beams are removed from the 1</w:t>
            </w:r>
            <w:r w:rsidRPr="00C6393A">
              <w:rPr>
                <w:szCs w:val="20"/>
                <w:vertAlign w:val="superscript"/>
              </w:rPr>
              <w:t>st</w:t>
            </w:r>
            <w:r w:rsidRPr="00C6393A">
              <w:rPr>
                <w:szCs w:val="20"/>
              </w:rPr>
              <w:t xml:space="preserve"> dim</w:t>
            </w:r>
          </w:p>
          <w:p w14:paraId="4848DA83" w14:textId="77777777" w:rsidR="00C6393A" w:rsidRPr="00C6393A" w:rsidRDefault="00C6393A" w:rsidP="00C6393A">
            <w:pPr>
              <w:pStyle w:val="ListParagraph"/>
              <w:ind w:left="0"/>
              <w:rPr>
                <w:color w:val="1F497D"/>
                <w:szCs w:val="20"/>
              </w:rPr>
            </w:pPr>
          </w:p>
          <w:p w14:paraId="5FB32607" w14:textId="20AB28FA" w:rsidR="00C6393A" w:rsidRPr="00C6393A" w:rsidRDefault="00C6393A" w:rsidP="00C6393A">
            <w:pPr>
              <w:pStyle w:val="ListParagraph"/>
              <w:ind w:left="0"/>
              <w:rPr>
                <w:szCs w:val="20"/>
                <w:lang w:val="en-US" w:eastAsia="zh-CN"/>
              </w:rPr>
            </w:pPr>
            <w:r w:rsidRPr="00C6393A">
              <w:rPr>
                <w:szCs w:val="20"/>
              </w:rPr>
              <w:t>Scheme2</w:t>
            </w:r>
            <w:r w:rsidRPr="00C6393A">
              <w:rPr>
                <w:rFonts w:ascii="SimSun" w:hAnsi="SimSun" w:hint="eastAsia"/>
                <w:szCs w:val="20"/>
              </w:rPr>
              <w:t>：</w:t>
            </w:r>
            <w:r w:rsidR="005E2DBD" w:rsidRPr="00C6393A">
              <w:rPr>
                <w:szCs w:val="20"/>
              </w:rPr>
              <w:t xml:space="preserve">Beam-based CBSR </w:t>
            </w:r>
            <w:r w:rsidR="005E2DBD">
              <w:rPr>
                <w:szCs w:val="20"/>
              </w:rPr>
              <w:t>where</w:t>
            </w:r>
            <w:r w:rsidR="005E2DBD" w:rsidRPr="00C6393A">
              <w:rPr>
                <w:szCs w:val="20"/>
              </w:rPr>
              <w:t xml:space="preserve"> </w:t>
            </w:r>
            <w:r w:rsidRPr="00C6393A">
              <w:rPr>
                <w:szCs w:val="20"/>
              </w:rPr>
              <w:t>beams around</w:t>
            </w:r>
            <w:r w:rsidR="005E2DBD">
              <w:rPr>
                <w:szCs w:val="20"/>
              </w:rPr>
              <w:t xml:space="preserve"> </w:t>
            </w:r>
            <w:r w:rsidRPr="00C6393A">
              <w:rPr>
                <w:szCs w:val="20"/>
              </w:rPr>
              <w:t>90</w:t>
            </w:r>
            <w:r w:rsidRPr="00C6393A">
              <w:rPr>
                <w:szCs w:val="20"/>
                <w:vertAlign w:val="superscript"/>
              </w:rPr>
              <w:t>0</w:t>
            </w:r>
            <w:r w:rsidRPr="00C6393A">
              <w:rPr>
                <w:szCs w:val="20"/>
              </w:rPr>
              <w:t xml:space="preserve"> are power restricted. For instance, </w:t>
            </w:r>
            <m:oMath>
              <m:r>
                <w:rPr>
                  <w:rFonts w:ascii="Cambria Math" w:hAnsi="Cambria Math"/>
                  <w:szCs w:val="20"/>
                </w:rPr>
                <m:t>{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l,m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 :l=0,1 and l= 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-1 </m:t>
              </m:r>
            </m:oMath>
            <w:r w:rsidRPr="00C6393A">
              <w:rPr>
                <w:szCs w:val="20"/>
              </w:rPr>
              <w:t>  } are not allowed in W1;   For  </w:t>
            </w:r>
            <m:oMath>
              <m:r>
                <w:rPr>
                  <w:rFonts w:ascii="Cambria Math" w:hAnsi="Cambria Math"/>
                  <w:szCs w:val="20"/>
                </w:rPr>
                <m:t>{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l,m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 :l=2 and l=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-2</m:t>
              </m:r>
            </m:oMath>
            <w:r w:rsidRPr="00C6393A">
              <w:rPr>
                <w:szCs w:val="20"/>
              </w:rPr>
              <w:t xml:space="preserve"> } , the relative power larger than </w:t>
            </w:r>
            <m:oMath>
              <m:rad>
                <m:radPr>
                  <m:degHide m:val="1"/>
                  <m:ctrlPr>
                    <w:rPr>
                      <w:rFonts w:ascii="Cambria Math" w:hAnsi="Cambria Math" w:cs="SimSun"/>
                      <w:szCs w:val="20"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0"/>
                    </w:rPr>
                    <m:t>0.25</m:t>
                  </m:r>
                </m:e>
              </m:rad>
            </m:oMath>
            <w:r w:rsidRPr="00C6393A">
              <w:rPr>
                <w:szCs w:val="20"/>
              </w:rPr>
              <w:t xml:space="preserve"> is not allowed; For  </w:t>
            </w:r>
            <m:oMath>
              <m:r>
                <w:rPr>
                  <w:rFonts w:ascii="Cambria Math" w:hAnsi="Cambria Math"/>
                  <w:szCs w:val="20"/>
                </w:rPr>
                <m:t>{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l,m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 xml:space="preserve"> :l=3 and l=</m:t>
              </m:r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SimSun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-3</m:t>
              </m:r>
            </m:oMath>
            <w:r w:rsidRPr="00C6393A">
              <w:rPr>
                <w:szCs w:val="20"/>
              </w:rPr>
              <w:t xml:space="preserve"> } , the relative power larger than </w:t>
            </w:r>
            <m:oMath>
              <m:rad>
                <m:radPr>
                  <m:degHide m:val="1"/>
                  <m:ctrlPr>
                    <w:rPr>
                      <w:rFonts w:ascii="Cambria Math" w:hAnsi="Cambria Math" w:cs="SimSun"/>
                      <w:szCs w:val="20"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0"/>
                    </w:rPr>
                    <m:t>0.5</m:t>
                  </m:r>
                </m:e>
              </m:rad>
            </m:oMath>
            <w:r w:rsidRPr="00C6393A">
              <w:rPr>
                <w:szCs w:val="20"/>
              </w:rPr>
              <w:t xml:space="preserve"> is not allowed;</w:t>
            </w:r>
          </w:p>
          <w:p w14:paraId="03EDFFEE" w14:textId="6EA34987" w:rsidR="00C6393A" w:rsidRPr="00C6393A" w:rsidRDefault="00C6393A" w:rsidP="00C6393A">
            <w:pPr>
              <w:rPr>
                <w:lang w:val="en-US"/>
              </w:rPr>
            </w:pPr>
          </w:p>
        </w:tc>
      </w:tr>
      <w:tr w:rsidR="00C6393A" w14:paraId="47A7224C" w14:textId="77777777" w:rsidTr="005E2DBD">
        <w:tc>
          <w:tcPr>
            <w:tcW w:w="1668" w:type="dxa"/>
          </w:tcPr>
          <w:p w14:paraId="34EA71C9" w14:textId="791EDD38" w:rsidR="00C6393A" w:rsidRDefault="005E2DBD" w:rsidP="00C6393A">
            <w:r>
              <w:t>Cell association</w:t>
            </w:r>
          </w:p>
        </w:tc>
        <w:tc>
          <w:tcPr>
            <w:tcW w:w="7908" w:type="dxa"/>
          </w:tcPr>
          <w:p w14:paraId="671ECA6F" w14:textId="18EC2859" w:rsidR="00C6393A" w:rsidRDefault="00CD5342" w:rsidP="005E2DB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>
              <w:t xml:space="preserve">Opt. 1: </w:t>
            </w:r>
            <w:r w:rsidR="005E2DBD">
              <w:t>Align radiation pattern of cell association signal(s) with radiation pattern of the restricted codebook when applying CBSR, for instance by performing cell selection based on each precoder in the codebook.</w:t>
            </w:r>
          </w:p>
          <w:p w14:paraId="58EF7FA0" w14:textId="2BF7BD47" w:rsidR="00CD5342" w:rsidRDefault="00CD5342" w:rsidP="005E2DB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  <w:p w14:paraId="5A2518B2" w14:textId="0A8D417E" w:rsidR="00CD5342" w:rsidRPr="00CD5342" w:rsidRDefault="00CD5342" w:rsidP="005E2DB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>
              <w:t>Opt 2: Cell association pattern is approximated by one-TXRU pattern</w:t>
            </w:r>
          </w:p>
          <w:p w14:paraId="211BEEDC" w14:textId="341D67AB" w:rsidR="005E2DBD" w:rsidRPr="005E2DBD" w:rsidRDefault="005E2DBD" w:rsidP="005E2DB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</w:p>
        </w:tc>
      </w:tr>
    </w:tbl>
    <w:p w14:paraId="3BC9304B" w14:textId="528ABAF2" w:rsidR="003A7EF3" w:rsidRPr="00CE0424" w:rsidRDefault="003A7EF3" w:rsidP="005E2DBD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4BC89" w14:textId="77777777" w:rsidR="006603AE" w:rsidRDefault="006603AE">
      <w:r>
        <w:separator/>
      </w:r>
    </w:p>
  </w:endnote>
  <w:endnote w:type="continuationSeparator" w:id="0">
    <w:p w14:paraId="4E44B34A" w14:textId="77777777" w:rsidR="006603AE" w:rsidRDefault="0066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1F0CE9F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2E9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2E9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233CA" w14:textId="77777777" w:rsidR="006603AE" w:rsidRDefault="006603AE">
      <w:r>
        <w:separator/>
      </w:r>
    </w:p>
  </w:footnote>
  <w:footnote w:type="continuationSeparator" w:id="0">
    <w:p w14:paraId="0F2FD2CA" w14:textId="77777777" w:rsidR="006603AE" w:rsidRDefault="00660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06F7C"/>
    <w:multiLevelType w:val="hybridMultilevel"/>
    <w:tmpl w:val="EE0AB676"/>
    <w:lvl w:ilvl="0" w:tplc="AD0877F2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94A21"/>
    <w:multiLevelType w:val="multilevel"/>
    <w:tmpl w:val="2F80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43B24"/>
    <w:multiLevelType w:val="multilevel"/>
    <w:tmpl w:val="14B4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9"/>
  </w:num>
  <w:num w:numId="15">
    <w:abstractNumId w:val="4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0C5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636A9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2DB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3AE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5E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170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393A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342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2E92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E6F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E6F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E6F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E6F5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E6F5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E6F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E6F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E6F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E6F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6F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6F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E6F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E6F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E6F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E6F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E6F50"/>
    <w:pPr>
      <w:ind w:left="1418" w:hanging="1418"/>
    </w:pPr>
  </w:style>
  <w:style w:type="paragraph" w:styleId="TOC3">
    <w:name w:val="toc 3"/>
    <w:basedOn w:val="TOC2"/>
    <w:semiHidden/>
    <w:rsid w:val="006E6F50"/>
    <w:pPr>
      <w:ind w:left="1134" w:hanging="1134"/>
    </w:pPr>
  </w:style>
  <w:style w:type="paragraph" w:styleId="TOC2">
    <w:name w:val="toc 2"/>
    <w:basedOn w:val="TOC1"/>
    <w:semiHidden/>
    <w:rsid w:val="006E6F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E6F50"/>
    <w:pPr>
      <w:ind w:left="284"/>
    </w:pPr>
  </w:style>
  <w:style w:type="paragraph" w:styleId="Index1">
    <w:name w:val="index 1"/>
    <w:basedOn w:val="Normal"/>
    <w:semiHidden/>
    <w:rsid w:val="006E6F50"/>
    <w:pPr>
      <w:keepLines/>
      <w:spacing w:after="0"/>
    </w:pPr>
  </w:style>
  <w:style w:type="paragraph" w:styleId="DocumentMap">
    <w:name w:val="Document Map"/>
    <w:basedOn w:val="Normal"/>
    <w:semiHidden/>
    <w:rsid w:val="006E6F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E6F50"/>
    <w:pPr>
      <w:ind w:left="851"/>
    </w:pPr>
  </w:style>
  <w:style w:type="paragraph" w:styleId="ListNumber">
    <w:name w:val="List Number"/>
    <w:basedOn w:val="List"/>
    <w:rsid w:val="006E6F50"/>
  </w:style>
  <w:style w:type="paragraph" w:styleId="List">
    <w:name w:val="List"/>
    <w:basedOn w:val="Normal"/>
    <w:rsid w:val="006E6F50"/>
    <w:pPr>
      <w:ind w:left="568" w:hanging="284"/>
    </w:pPr>
  </w:style>
  <w:style w:type="paragraph" w:styleId="Header">
    <w:name w:val="header"/>
    <w:rsid w:val="006E6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E6F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E6F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E6F5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E6F50"/>
    <w:pPr>
      <w:ind w:left="1418" w:hanging="1418"/>
    </w:pPr>
  </w:style>
  <w:style w:type="paragraph" w:styleId="TOC6">
    <w:name w:val="toc 6"/>
    <w:basedOn w:val="TOC5"/>
    <w:next w:val="Normal"/>
    <w:semiHidden/>
    <w:rsid w:val="006E6F50"/>
    <w:pPr>
      <w:ind w:left="1985" w:hanging="1985"/>
    </w:pPr>
  </w:style>
  <w:style w:type="paragraph" w:styleId="TOC7">
    <w:name w:val="toc 7"/>
    <w:basedOn w:val="TOC6"/>
    <w:next w:val="Normal"/>
    <w:semiHidden/>
    <w:rsid w:val="006E6F50"/>
    <w:pPr>
      <w:ind w:left="2268" w:hanging="2268"/>
    </w:pPr>
  </w:style>
  <w:style w:type="paragraph" w:styleId="ListBullet2">
    <w:name w:val="List Bullet 2"/>
    <w:basedOn w:val="ListBullet"/>
    <w:rsid w:val="006E6F50"/>
    <w:pPr>
      <w:numPr>
        <w:numId w:val="6"/>
      </w:numPr>
    </w:pPr>
  </w:style>
  <w:style w:type="paragraph" w:styleId="ListBullet">
    <w:name w:val="List Bullet"/>
    <w:basedOn w:val="BodyText"/>
    <w:rsid w:val="006E6F50"/>
    <w:pPr>
      <w:numPr>
        <w:numId w:val="5"/>
      </w:numPr>
    </w:pPr>
  </w:style>
  <w:style w:type="paragraph" w:styleId="ListBullet3">
    <w:name w:val="List Bullet 3"/>
    <w:basedOn w:val="ListBullet2"/>
    <w:rsid w:val="006E6F50"/>
    <w:pPr>
      <w:numPr>
        <w:numId w:val="7"/>
      </w:numPr>
    </w:pPr>
  </w:style>
  <w:style w:type="paragraph" w:customStyle="1" w:styleId="EQ">
    <w:name w:val="EQ"/>
    <w:basedOn w:val="Normal"/>
    <w:next w:val="Normal"/>
    <w:rsid w:val="006E6F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E6F50"/>
    <w:pPr>
      <w:ind w:left="851"/>
    </w:pPr>
  </w:style>
  <w:style w:type="paragraph" w:styleId="List3">
    <w:name w:val="List 3"/>
    <w:basedOn w:val="List2"/>
    <w:rsid w:val="006E6F50"/>
    <w:pPr>
      <w:ind w:left="1135"/>
    </w:pPr>
  </w:style>
  <w:style w:type="paragraph" w:styleId="List4">
    <w:name w:val="List 4"/>
    <w:basedOn w:val="List3"/>
    <w:rsid w:val="006E6F50"/>
    <w:pPr>
      <w:ind w:left="1418"/>
    </w:pPr>
  </w:style>
  <w:style w:type="paragraph" w:styleId="List5">
    <w:name w:val="List 5"/>
    <w:basedOn w:val="List4"/>
    <w:rsid w:val="006E6F50"/>
    <w:pPr>
      <w:ind w:left="1702"/>
    </w:pPr>
  </w:style>
  <w:style w:type="paragraph" w:customStyle="1" w:styleId="EditorsNote">
    <w:name w:val="Editor's Note"/>
    <w:basedOn w:val="Normal"/>
    <w:rsid w:val="006E6F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E6F50"/>
    <w:pPr>
      <w:numPr>
        <w:numId w:val="8"/>
      </w:numPr>
    </w:pPr>
  </w:style>
  <w:style w:type="paragraph" w:styleId="ListBullet5">
    <w:name w:val="List Bullet 5"/>
    <w:basedOn w:val="ListBullet4"/>
    <w:rsid w:val="006E6F50"/>
    <w:pPr>
      <w:numPr>
        <w:numId w:val="4"/>
      </w:numPr>
    </w:pPr>
  </w:style>
  <w:style w:type="paragraph" w:styleId="Footer">
    <w:name w:val="footer"/>
    <w:basedOn w:val="Header"/>
    <w:semiHidden/>
    <w:rsid w:val="006E6F5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E6F50"/>
    <w:pPr>
      <w:numPr>
        <w:numId w:val="2"/>
      </w:numPr>
    </w:pPr>
  </w:style>
  <w:style w:type="paragraph" w:styleId="BalloonText">
    <w:name w:val="Balloon Text"/>
    <w:basedOn w:val="Normal"/>
    <w:semiHidden/>
    <w:rsid w:val="006E6F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E6F50"/>
  </w:style>
  <w:style w:type="paragraph" w:styleId="BodyText">
    <w:name w:val="Body Text"/>
    <w:basedOn w:val="Normal"/>
    <w:link w:val="BodyTextChar"/>
    <w:qFormat/>
    <w:rsid w:val="006E6F50"/>
  </w:style>
  <w:style w:type="character" w:styleId="Hyperlink">
    <w:name w:val="Hyperlink"/>
    <w:uiPriority w:val="99"/>
    <w:rsid w:val="006E6F50"/>
    <w:rPr>
      <w:color w:val="0000FF"/>
      <w:u w:val="single"/>
      <w:lang w:val="en-GB"/>
    </w:rPr>
  </w:style>
  <w:style w:type="character" w:styleId="FollowedHyperlink">
    <w:name w:val="FollowedHyperlink"/>
    <w:semiHidden/>
    <w:rsid w:val="006E6F50"/>
    <w:rPr>
      <w:color w:val="FF0000"/>
      <w:u w:val="single"/>
    </w:rPr>
  </w:style>
  <w:style w:type="character" w:styleId="CommentReference">
    <w:name w:val="annotation reference"/>
    <w:semiHidden/>
    <w:rsid w:val="006E6F50"/>
    <w:rPr>
      <w:sz w:val="16"/>
      <w:szCs w:val="16"/>
    </w:rPr>
  </w:style>
  <w:style w:type="paragraph" w:styleId="CommentText">
    <w:name w:val="annotation text"/>
    <w:basedOn w:val="Normal"/>
    <w:semiHidden/>
    <w:rsid w:val="006E6F50"/>
  </w:style>
  <w:style w:type="paragraph" w:styleId="CommentSubject">
    <w:name w:val="annotation subject"/>
    <w:basedOn w:val="CommentText"/>
    <w:next w:val="CommentText"/>
    <w:semiHidden/>
    <w:rsid w:val="006E6F50"/>
    <w:rPr>
      <w:b/>
      <w:bCs/>
    </w:rPr>
  </w:style>
  <w:style w:type="character" w:customStyle="1" w:styleId="Heading1Char">
    <w:name w:val="Heading 1 Char"/>
    <w:link w:val="Heading1"/>
    <w:rsid w:val="006E6F5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E6F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E6F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E6F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E6F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E6F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E6F5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E6F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E6F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E6F50"/>
    <w:pPr>
      <w:spacing w:after="0"/>
    </w:pPr>
  </w:style>
  <w:style w:type="paragraph" w:customStyle="1" w:styleId="TAL">
    <w:name w:val="TAL"/>
    <w:basedOn w:val="Normal"/>
    <w:rsid w:val="006E6F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E6F50"/>
    <w:pPr>
      <w:jc w:val="center"/>
    </w:pPr>
  </w:style>
  <w:style w:type="paragraph" w:customStyle="1" w:styleId="TAH">
    <w:name w:val="TAH"/>
    <w:basedOn w:val="TAC"/>
    <w:rsid w:val="006E6F50"/>
    <w:rPr>
      <w:b/>
    </w:rPr>
  </w:style>
  <w:style w:type="paragraph" w:customStyle="1" w:styleId="TAN">
    <w:name w:val="TAN"/>
    <w:basedOn w:val="TAL"/>
    <w:rsid w:val="006E6F50"/>
    <w:pPr>
      <w:ind w:left="851" w:hanging="851"/>
    </w:pPr>
  </w:style>
  <w:style w:type="paragraph" w:customStyle="1" w:styleId="TAR">
    <w:name w:val="TAR"/>
    <w:basedOn w:val="TAL"/>
    <w:rsid w:val="006E6F50"/>
    <w:pPr>
      <w:jc w:val="right"/>
    </w:pPr>
  </w:style>
  <w:style w:type="paragraph" w:customStyle="1" w:styleId="TH">
    <w:name w:val="TH"/>
    <w:basedOn w:val="Normal"/>
    <w:rsid w:val="006E6F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E6F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E6F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E6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6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6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E6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E6F50"/>
  </w:style>
  <w:style w:type="paragraph" w:customStyle="1" w:styleId="ZH">
    <w:name w:val="ZH"/>
    <w:rsid w:val="006E6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E6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E6F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6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6F50"/>
    <w:pPr>
      <w:framePr w:wrap="notBeside" w:y="16161"/>
    </w:pPr>
  </w:style>
  <w:style w:type="paragraph" w:customStyle="1" w:styleId="FP">
    <w:name w:val="FP"/>
    <w:basedOn w:val="Normal"/>
    <w:rsid w:val="006E6F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E6F5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E6F5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E6F5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C63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E2DB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5E2DB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5E2DB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3">
    <w:name w:val="Grid Table 3 Accent 3"/>
    <w:basedOn w:val="TableNormal"/>
    <w:uiPriority w:val="48"/>
    <w:rsid w:val="005E2DBD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E2DB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E2DBD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6Colorful-Accent3">
    <w:name w:val="Grid Table 6 Colorful Accent 3"/>
    <w:basedOn w:val="TableNormal"/>
    <w:uiPriority w:val="51"/>
    <w:rsid w:val="005E2DBD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5E2DB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5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esebfax\AppData\Local\tdocs\R1-171464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C9DEFE-99C0-457A-9928-542ABA46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187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30</cp:revision>
  <cp:lastPrinted>2008-01-31T15:09:00Z</cp:lastPrinted>
  <dcterms:created xsi:type="dcterms:W3CDTF">2016-07-07T21:45:00Z</dcterms:created>
  <dcterms:modified xsi:type="dcterms:W3CDTF">2017-08-24T06:50:00Z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